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7BF" w:rsidRDefault="008C07BF" w:rsidP="006420DC">
      <w:pPr>
        <w:jc w:val="center"/>
        <w:rPr>
          <w:rFonts w:ascii="微软雅黑" w:eastAsia="微软雅黑" w:hAnsi="微软雅黑" w:hint="eastAsia"/>
          <w:b/>
          <w:sz w:val="32"/>
          <w:szCs w:val="52"/>
        </w:rPr>
      </w:pPr>
      <w:r w:rsidRPr="00214583">
        <w:rPr>
          <w:rFonts w:ascii="微软雅黑" w:eastAsia="微软雅黑" w:hAnsi="微软雅黑" w:cs="宋体"/>
          <w:sz w:val="32"/>
          <w:szCs w:val="32"/>
        </w:rPr>
        <w:drawing>
          <wp:anchor distT="0" distB="0" distL="114300" distR="114300" simplePos="0" relativeHeight="251659264" behindDoc="0" locked="0" layoutInCell="1" allowOverlap="1" wp14:anchorId="1E575F78" wp14:editId="18F6445B">
            <wp:simplePos x="0" y="0"/>
            <wp:positionH relativeFrom="column">
              <wp:posOffset>-953</wp:posOffset>
            </wp:positionH>
            <wp:positionV relativeFrom="paragraph">
              <wp:posOffset>-220980</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2A4F" w:rsidRPr="00D030F9" w:rsidRDefault="00313448" w:rsidP="006420DC">
      <w:pPr>
        <w:jc w:val="center"/>
        <w:rPr>
          <w:rFonts w:ascii="微软雅黑" w:eastAsia="微软雅黑" w:hAnsi="微软雅黑"/>
          <w:b/>
          <w:sz w:val="32"/>
          <w:szCs w:val="52"/>
        </w:rPr>
      </w:pPr>
      <w:r w:rsidRPr="00D030F9">
        <w:rPr>
          <w:rFonts w:ascii="微软雅黑" w:eastAsia="微软雅黑" w:hAnsi="微软雅黑" w:hint="eastAsia"/>
          <w:b/>
          <w:sz w:val="32"/>
          <w:szCs w:val="52"/>
        </w:rPr>
        <w:t>普通投资者转</w:t>
      </w:r>
      <w:r w:rsidR="006420DC" w:rsidRPr="00D030F9">
        <w:rPr>
          <w:rFonts w:ascii="微软雅黑" w:eastAsia="微软雅黑" w:hAnsi="微软雅黑" w:hint="eastAsia"/>
          <w:b/>
          <w:sz w:val="32"/>
          <w:szCs w:val="52"/>
        </w:rPr>
        <w:t>专业投资者知识测评</w:t>
      </w:r>
    </w:p>
    <w:p w:rsidR="00313448" w:rsidRDefault="00313448" w:rsidP="00313448">
      <w:pPr>
        <w:jc w:val="left"/>
        <w:rPr>
          <w:rFonts w:asciiTheme="majorEastAsia" w:eastAsiaTheme="majorEastAsia" w:hAnsiTheme="majorEastAsia"/>
          <w:b/>
          <w:sz w:val="24"/>
          <w:szCs w:val="24"/>
        </w:rPr>
      </w:pPr>
    </w:p>
    <w:p w:rsidR="00313448" w:rsidRPr="00D030F9" w:rsidRDefault="00313448"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本问卷旨在了解投资者的投资专业程度等情况，借此协助投资者选择合适的金融产品或金融服务类别，以符合投资者的专业能力。</w:t>
      </w:r>
    </w:p>
    <w:p w:rsidR="00313448" w:rsidRPr="00D030F9" w:rsidRDefault="00313448"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本公司特别提醒投资者：本公司向投资者履行普通投资者转专业投资者知识测试等适当性</w:t>
      </w:r>
      <w:r w:rsidR="00D825BF" w:rsidRPr="00D030F9">
        <w:rPr>
          <w:rFonts w:asciiTheme="majorEastAsia" w:eastAsiaTheme="majorEastAsia" w:hAnsiTheme="majorEastAsia" w:hint="eastAsia"/>
          <w:szCs w:val="21"/>
        </w:rPr>
        <w:t>职责，并不能取代投资者自身的投资判断，也不会降低金融产品或金融服务的固有风险。同时，与金融产品或金融服务相关的投资风险、履约责任以及费用等将由投资者自行承担。</w:t>
      </w:r>
    </w:p>
    <w:p w:rsidR="00D825BF" w:rsidRPr="00D030F9"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提示投资者：本公司根据投资者提供的信息对投资者进行普通投资者转专业投资者知识测试，开展适当性工作。投资者应当如实现提供相关信息及证明材料，并对所提供的信息和证明材料的真实性、准确性、完整性负责。</w:t>
      </w:r>
    </w:p>
    <w:p w:rsidR="00D825BF" w:rsidRPr="00D030F9"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本公司建议：当投资者的各项状况发生重大变化时，需对投资者所投资的金融产品及时进行重新审视，以确保投资者的投资决定与其专业知识等实际情况一致。</w:t>
      </w:r>
    </w:p>
    <w:p w:rsidR="00D825BF"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在此承诺，对于投资者在本问卷中所提供的一切信息，本公司将严格按照法律法规要求承担保密义务，除法律法规规定的有权机关依法定程序进行查询以外，本公司保证不会将涉及投资者的任何信息提供、泄露给任何第三方，或者将相关信息用于违法、不当用途。</w:t>
      </w:r>
    </w:p>
    <w:p w:rsidR="00D030F9" w:rsidRDefault="00D030F9" w:rsidP="00D030F9">
      <w:pPr>
        <w:spacing w:line="360" w:lineRule="auto"/>
        <w:rPr>
          <w:rFonts w:asciiTheme="majorEastAsia" w:eastAsiaTheme="majorEastAsia" w:hAnsiTheme="majorEastAsia"/>
          <w:b/>
          <w:szCs w:val="21"/>
        </w:rPr>
      </w:pPr>
    </w:p>
    <w:p w:rsidR="00D030F9" w:rsidRPr="00D030F9" w:rsidRDefault="000172DD" w:rsidP="008C07BF">
      <w:pPr>
        <w:spacing w:line="360" w:lineRule="auto"/>
        <w:ind w:firstLineChars="300" w:firstLine="632"/>
        <w:jc w:val="left"/>
        <w:rPr>
          <w:rFonts w:asciiTheme="majorEastAsia" w:eastAsiaTheme="majorEastAsia" w:hAnsiTheme="majorEastAsia"/>
          <w:b/>
          <w:szCs w:val="21"/>
        </w:rPr>
      </w:pPr>
      <w:r>
        <w:rPr>
          <w:rFonts w:asciiTheme="majorEastAsia" w:eastAsiaTheme="majorEastAsia" w:hAnsiTheme="majorEastAsia" w:hint="eastAsia"/>
          <w:b/>
          <w:szCs w:val="21"/>
        </w:rPr>
        <w:t>投资者</w:t>
      </w:r>
      <w:r w:rsidR="00D030F9" w:rsidRPr="00D030F9">
        <w:rPr>
          <w:rFonts w:asciiTheme="majorEastAsia" w:eastAsiaTheme="majorEastAsia" w:hAnsiTheme="majorEastAsia" w:hint="eastAsia"/>
          <w:b/>
          <w:szCs w:val="21"/>
        </w:rPr>
        <w:t xml:space="preserve">名称：_______________    </w:t>
      </w:r>
      <w:r w:rsidR="008C07BF">
        <w:rPr>
          <w:rFonts w:asciiTheme="majorEastAsia" w:eastAsiaTheme="majorEastAsia" w:hAnsiTheme="majorEastAsia" w:hint="eastAsia"/>
          <w:b/>
          <w:szCs w:val="21"/>
        </w:rPr>
        <w:t xml:space="preserve">   </w:t>
      </w:r>
      <w:r w:rsidR="00D030F9" w:rsidRPr="00D030F9">
        <w:rPr>
          <w:rFonts w:asciiTheme="majorEastAsia" w:eastAsiaTheme="majorEastAsia" w:hAnsiTheme="majorEastAsia" w:hint="eastAsia"/>
          <w:b/>
          <w:szCs w:val="21"/>
        </w:rPr>
        <w:t xml:space="preserve">    </w:t>
      </w:r>
      <w:r w:rsidR="008C07BF">
        <w:rPr>
          <w:rFonts w:asciiTheme="majorEastAsia" w:eastAsiaTheme="majorEastAsia" w:hAnsiTheme="majorEastAsia" w:hint="eastAsia"/>
          <w:b/>
          <w:szCs w:val="21"/>
        </w:rPr>
        <w:t xml:space="preserve">            </w:t>
      </w:r>
      <w:r w:rsidR="00D030F9" w:rsidRPr="00D030F9">
        <w:rPr>
          <w:rFonts w:asciiTheme="majorEastAsia" w:eastAsiaTheme="majorEastAsia" w:hAnsiTheme="majorEastAsia" w:hint="eastAsia"/>
          <w:b/>
          <w:szCs w:val="21"/>
        </w:rPr>
        <w:t xml:space="preserve">  基金账号：________________</w:t>
      </w:r>
    </w:p>
    <w:p w:rsidR="00D030F9" w:rsidRDefault="00D030F9" w:rsidP="00D030F9">
      <w:pPr>
        <w:spacing w:line="360" w:lineRule="auto"/>
        <w:ind w:firstLine="480"/>
        <w:jc w:val="left"/>
        <w:rPr>
          <w:rFonts w:asciiTheme="majorEastAsia" w:eastAsiaTheme="majorEastAsia" w:hAnsiTheme="majorEastAsia"/>
          <w:szCs w:val="21"/>
        </w:rPr>
      </w:pPr>
    </w:p>
    <w:p w:rsidR="0082482A" w:rsidRPr="00D030F9" w:rsidRDefault="00D030F9" w:rsidP="00D030F9">
      <w:pPr>
        <w:spacing w:line="360" w:lineRule="auto"/>
        <w:ind w:firstLine="480"/>
        <w:jc w:val="left"/>
        <w:rPr>
          <w:rFonts w:ascii="宋体" w:eastAsia="宋体" w:hAnsi="宋体" w:cs="宋体"/>
          <w:kern w:val="0"/>
          <w:sz w:val="18"/>
          <w:szCs w:val="18"/>
        </w:rPr>
      </w:pPr>
      <w:r w:rsidRPr="00D030F9">
        <w:rPr>
          <w:rFonts w:asciiTheme="majorEastAsia" w:eastAsiaTheme="majorEastAsia" w:hAnsiTheme="majorEastAsia" w:hint="eastAsia"/>
          <w:szCs w:val="21"/>
        </w:rPr>
        <w:t>本次</w:t>
      </w:r>
      <w:r w:rsidR="00A932E3">
        <w:rPr>
          <w:rFonts w:asciiTheme="majorEastAsia" w:eastAsiaTheme="majorEastAsia" w:hAnsiTheme="majorEastAsia" w:hint="eastAsia"/>
          <w:szCs w:val="21"/>
        </w:rPr>
        <w:t>普通投资者转专业投资者知识测评</w:t>
      </w:r>
      <w:r w:rsidRPr="00D030F9">
        <w:rPr>
          <w:rFonts w:asciiTheme="majorEastAsia" w:eastAsiaTheme="majorEastAsia" w:hAnsiTheme="majorEastAsia" w:hint="eastAsia"/>
          <w:szCs w:val="21"/>
        </w:rPr>
        <w:t>为单项选择，请圈出您的选项：</w:t>
      </w:r>
    </w:p>
    <w:p w:rsidR="0082482A" w:rsidRPr="00D030F9" w:rsidRDefault="0082482A"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1</w:t>
      </w:r>
      <w:r w:rsidR="000172DD">
        <w:rPr>
          <w:rFonts w:asciiTheme="majorEastAsia" w:eastAsiaTheme="majorEastAsia" w:hAnsiTheme="majorEastAsia" w:hint="eastAsia"/>
          <w:b/>
          <w:szCs w:val="21"/>
        </w:rPr>
        <w:t>、</w:t>
      </w:r>
      <w:r w:rsidRPr="00D030F9">
        <w:rPr>
          <w:rFonts w:asciiTheme="majorEastAsia" w:eastAsiaTheme="majorEastAsia" w:hAnsiTheme="majorEastAsia"/>
          <w:b/>
          <w:szCs w:val="21"/>
        </w:rPr>
        <w:t>根据基金的募集方式不同，可以将基金分为(</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A</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封闭式基金和开放式基金</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B</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契约型基金和公司型基金</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C</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公</w:t>
      </w:r>
      <w:proofErr w:type="gramStart"/>
      <w:r w:rsidR="0082482A" w:rsidRPr="00D030F9">
        <w:rPr>
          <w:rFonts w:asciiTheme="majorEastAsia" w:eastAsiaTheme="majorEastAsia" w:hAnsiTheme="majorEastAsia"/>
          <w:szCs w:val="21"/>
        </w:rPr>
        <w:t>募基金</w:t>
      </w:r>
      <w:proofErr w:type="gramEnd"/>
      <w:r w:rsidR="0082482A" w:rsidRPr="00D030F9">
        <w:rPr>
          <w:rFonts w:asciiTheme="majorEastAsia" w:eastAsiaTheme="majorEastAsia" w:hAnsiTheme="majorEastAsia"/>
          <w:szCs w:val="21"/>
        </w:rPr>
        <w:t>和私募基金</w:t>
      </w:r>
    </w:p>
    <w:p w:rsidR="0082482A" w:rsidRPr="00D030F9" w:rsidRDefault="000172DD" w:rsidP="00D030F9">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D</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股票基金和债券基金</w:t>
      </w:r>
    </w:p>
    <w:p w:rsidR="0082482A" w:rsidRPr="00D030F9" w:rsidRDefault="0082482A"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2、</w:t>
      </w:r>
      <w:r w:rsidRPr="00D030F9">
        <w:rPr>
          <w:rFonts w:asciiTheme="majorEastAsia" w:eastAsiaTheme="majorEastAsia" w:hAnsiTheme="majorEastAsia"/>
          <w:b/>
          <w:szCs w:val="21"/>
        </w:rPr>
        <w:t>依据法律形式的不同，证券投资基金可以分为（</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、契约型基金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、公司型基金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、开放式基金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Ⅳ</w:t>
      </w:r>
      <w:r w:rsidRPr="00D030F9">
        <w:rPr>
          <w:rFonts w:asciiTheme="majorEastAsia" w:eastAsiaTheme="majorEastAsia" w:hAnsiTheme="majorEastAsia"/>
          <w:szCs w:val="21"/>
        </w:rPr>
        <w:t>、封闭式基金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p>
    <w:p w:rsidR="008C07BF" w:rsidRDefault="008C07BF" w:rsidP="008C07BF">
      <w:pPr>
        <w:spacing w:line="360" w:lineRule="auto"/>
        <w:ind w:firstLine="480"/>
        <w:jc w:val="left"/>
        <w:rPr>
          <w:rFonts w:asciiTheme="majorEastAsia" w:eastAsiaTheme="majorEastAsia" w:hAnsiTheme="majorEastAsia" w:hint="eastAsia"/>
          <w:szCs w:val="21"/>
        </w:rPr>
      </w:pPr>
      <w:r w:rsidRPr="00214583">
        <w:rPr>
          <w:rFonts w:ascii="微软雅黑" w:eastAsia="微软雅黑" w:hAnsi="微软雅黑" w:cs="宋体"/>
          <w:sz w:val="32"/>
          <w:szCs w:val="32"/>
        </w:rPr>
        <w:lastRenderedPageBreak/>
        <w:drawing>
          <wp:anchor distT="0" distB="0" distL="114300" distR="114300" simplePos="0" relativeHeight="251661312" behindDoc="0" locked="0" layoutInCell="1" allowOverlap="1" wp14:anchorId="173B36C9" wp14:editId="55B18BFE">
            <wp:simplePos x="0" y="0"/>
            <wp:positionH relativeFrom="column">
              <wp:posOffset>3492</wp:posOffset>
            </wp:positionH>
            <wp:positionV relativeFrom="paragraph">
              <wp:posOffset>-228600</wp:posOffset>
            </wp:positionV>
            <wp:extent cx="1799590" cy="364490"/>
            <wp:effectExtent l="0" t="0" r="0" b="0"/>
            <wp:wrapNone/>
            <wp:docPr id="3" name="图片 3"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82482A" w:rsidRPr="00D030F9" w:rsidRDefault="0082482A"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3</w:t>
      </w:r>
      <w:r w:rsidRPr="00D030F9">
        <w:rPr>
          <w:rFonts w:asciiTheme="majorEastAsia" w:eastAsiaTheme="majorEastAsia" w:hAnsiTheme="majorEastAsia"/>
          <w:b/>
          <w:szCs w:val="21"/>
        </w:rPr>
        <w:t>、关于基</w:t>
      </w:r>
      <w:r w:rsidR="00481559" w:rsidRPr="00D030F9">
        <w:rPr>
          <w:rFonts w:asciiTheme="majorEastAsia" w:eastAsiaTheme="majorEastAsia" w:hAnsiTheme="majorEastAsia" w:hint="eastAsia"/>
          <w:b/>
          <w:szCs w:val="21"/>
        </w:rPr>
        <w:t>金</w:t>
      </w:r>
      <w:r w:rsidRPr="00D030F9">
        <w:rPr>
          <w:rFonts w:asciiTheme="majorEastAsia" w:eastAsiaTheme="majorEastAsia" w:hAnsiTheme="majorEastAsia"/>
          <w:b/>
          <w:szCs w:val="21"/>
        </w:rPr>
        <w:t>分类,以下说法正确的是(</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基金资产60%投资于债券的为债券型基金</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基金资产60%投资于</w:t>
      </w:r>
      <w:r w:rsidR="00481559" w:rsidRPr="00D030F9">
        <w:rPr>
          <w:rFonts w:asciiTheme="majorEastAsia" w:eastAsiaTheme="majorEastAsia" w:hAnsiTheme="majorEastAsia" w:hint="eastAsia"/>
          <w:szCs w:val="21"/>
        </w:rPr>
        <w:t>股</w:t>
      </w:r>
      <w:r w:rsidRPr="00D030F9">
        <w:rPr>
          <w:rFonts w:asciiTheme="majorEastAsia" w:eastAsiaTheme="majorEastAsia" w:hAnsiTheme="majorEastAsia"/>
          <w:szCs w:val="21"/>
        </w:rPr>
        <w:t>票的为股票型基金</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货币市场基金仅投资于货币市场工具</w:t>
      </w:r>
    </w:p>
    <w:p w:rsidR="001B505E" w:rsidRPr="00D030F9" w:rsidRDefault="000172DD" w:rsidP="00D030F9">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D</w:t>
      </w:r>
      <w:r>
        <w:rPr>
          <w:rFonts w:asciiTheme="majorEastAsia" w:eastAsiaTheme="majorEastAsia" w:hAnsiTheme="majorEastAsia" w:hint="eastAsia"/>
          <w:szCs w:val="21"/>
        </w:rPr>
        <w:t>、</w:t>
      </w:r>
      <w:r w:rsidR="001B505E" w:rsidRPr="00D030F9">
        <w:rPr>
          <w:rFonts w:asciiTheme="majorEastAsia" w:eastAsiaTheme="majorEastAsia" w:hAnsiTheme="majorEastAsia"/>
          <w:szCs w:val="21"/>
        </w:rPr>
        <w:t>基金中基金仅投资于其他基金份额</w:t>
      </w:r>
    </w:p>
    <w:p w:rsidR="0082482A" w:rsidRPr="00D030F9" w:rsidRDefault="001B505E"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4</w:t>
      </w:r>
      <w:r w:rsidR="0082482A" w:rsidRPr="00D030F9">
        <w:rPr>
          <w:rFonts w:asciiTheme="majorEastAsia" w:eastAsiaTheme="majorEastAsia" w:hAnsiTheme="majorEastAsia" w:hint="eastAsia"/>
          <w:b/>
          <w:szCs w:val="21"/>
        </w:rPr>
        <w:t>、</w:t>
      </w:r>
      <w:r w:rsidR="0082482A" w:rsidRPr="00D030F9">
        <w:rPr>
          <w:rFonts w:asciiTheme="majorEastAsia" w:eastAsiaTheme="majorEastAsia" w:hAnsiTheme="majorEastAsia"/>
          <w:b/>
          <w:szCs w:val="21"/>
        </w:rPr>
        <w:t>与其他金融工具相比较，基金是一种(</w:t>
      </w:r>
      <w:r w:rsidR="001F1B5D" w:rsidRPr="00D030F9">
        <w:rPr>
          <w:rFonts w:asciiTheme="majorEastAsia" w:eastAsiaTheme="majorEastAsia" w:hAnsiTheme="majorEastAsia" w:hint="eastAsia"/>
          <w:b/>
          <w:szCs w:val="21"/>
        </w:rPr>
        <w:t xml:space="preserve">   </w:t>
      </w:r>
      <w:r w:rsidR="000172DD">
        <w:rPr>
          <w:rFonts w:asciiTheme="majorEastAsia" w:eastAsiaTheme="majorEastAsia" w:hAnsiTheme="majorEastAsia"/>
          <w:b/>
          <w:szCs w:val="21"/>
        </w:rPr>
        <w:t>)</w:t>
      </w:r>
      <w:r w:rsidR="0082482A" w:rsidRPr="00D030F9">
        <w:rPr>
          <w:rFonts w:asciiTheme="majorEastAsia" w:eastAsiaTheme="majorEastAsia" w:hAnsiTheme="majorEastAsia"/>
          <w:b/>
          <w:szCs w:val="21"/>
        </w:rPr>
        <w:t>。</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A</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受益凭证</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B</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股权凭证</w:t>
      </w:r>
    </w:p>
    <w:p w:rsidR="0082482A" w:rsidRPr="00D030F9" w:rsidRDefault="000172DD" w:rsidP="0082482A">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C</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信用凭证</w:t>
      </w:r>
    </w:p>
    <w:p w:rsidR="0082482A" w:rsidRPr="00D030F9" w:rsidRDefault="000172DD" w:rsidP="00D030F9">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D</w:t>
      </w:r>
      <w:r>
        <w:rPr>
          <w:rFonts w:asciiTheme="majorEastAsia" w:eastAsiaTheme="majorEastAsia" w:hAnsiTheme="majorEastAsia" w:hint="eastAsia"/>
          <w:szCs w:val="21"/>
        </w:rPr>
        <w:t>、</w:t>
      </w:r>
      <w:r w:rsidR="0082482A" w:rsidRPr="00D030F9">
        <w:rPr>
          <w:rFonts w:asciiTheme="majorEastAsia" w:eastAsiaTheme="majorEastAsia" w:hAnsiTheme="majorEastAsia"/>
          <w:szCs w:val="21"/>
        </w:rPr>
        <w:t>债权凭证</w:t>
      </w:r>
    </w:p>
    <w:p w:rsidR="00957E06" w:rsidRPr="00D030F9" w:rsidRDefault="001B505E" w:rsidP="00957E06">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5</w:t>
      </w:r>
      <w:r w:rsidR="005C5628" w:rsidRPr="00D030F9">
        <w:rPr>
          <w:rFonts w:asciiTheme="majorEastAsia" w:eastAsiaTheme="majorEastAsia" w:hAnsiTheme="majorEastAsia" w:hint="eastAsia"/>
          <w:b/>
          <w:szCs w:val="21"/>
        </w:rPr>
        <w:t>、</w:t>
      </w:r>
      <w:r w:rsidR="00957E06" w:rsidRPr="00D030F9">
        <w:rPr>
          <w:rFonts w:asciiTheme="majorEastAsia" w:eastAsiaTheme="majorEastAsia" w:hAnsiTheme="majorEastAsia" w:hint="eastAsia"/>
          <w:b/>
          <w:szCs w:val="21"/>
        </w:rPr>
        <w:t>在风险程度上，按照理论推测和以往的投资实践，</w:t>
      </w:r>
      <w:proofErr w:type="gramStart"/>
      <w:r w:rsidR="00957E06" w:rsidRPr="00D030F9">
        <w:rPr>
          <w:rFonts w:asciiTheme="majorEastAsia" w:eastAsiaTheme="majorEastAsia" w:hAnsiTheme="majorEastAsia" w:hint="eastAsia"/>
          <w:b/>
          <w:szCs w:val="21"/>
        </w:rPr>
        <w:t>下列基金</w:t>
      </w:r>
      <w:proofErr w:type="gramEnd"/>
      <w:r w:rsidR="00957E06" w:rsidRPr="00D030F9">
        <w:rPr>
          <w:rFonts w:asciiTheme="majorEastAsia" w:eastAsiaTheme="majorEastAsia" w:hAnsiTheme="majorEastAsia" w:hint="eastAsia"/>
          <w:b/>
          <w:szCs w:val="21"/>
        </w:rPr>
        <w:t xml:space="preserve">中风险最大的是( </w:t>
      </w:r>
      <w:r w:rsidR="000172DD">
        <w:rPr>
          <w:rFonts w:asciiTheme="majorEastAsia" w:eastAsiaTheme="majorEastAsia" w:hAnsiTheme="majorEastAsia" w:hint="eastAsia"/>
          <w:b/>
          <w:szCs w:val="21"/>
        </w:rPr>
        <w:t xml:space="preserve">  </w:t>
      </w:r>
      <w:r w:rsidR="00957E06" w:rsidRPr="00D030F9">
        <w:rPr>
          <w:rFonts w:asciiTheme="majorEastAsia" w:eastAsiaTheme="majorEastAsia" w:hAnsiTheme="majorEastAsia" w:hint="eastAsia"/>
          <w:b/>
          <w:szCs w:val="21"/>
        </w:rPr>
        <w:t>)。</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w:t>
      </w:r>
      <w:r w:rsidR="00957E06" w:rsidRPr="00D030F9">
        <w:rPr>
          <w:rFonts w:asciiTheme="majorEastAsia" w:eastAsiaTheme="majorEastAsia" w:hAnsiTheme="majorEastAsia" w:hint="eastAsia"/>
          <w:szCs w:val="21"/>
        </w:rPr>
        <w:t>增长型基金</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w:t>
      </w:r>
      <w:r w:rsidR="00957E06" w:rsidRPr="00D030F9">
        <w:rPr>
          <w:rFonts w:asciiTheme="majorEastAsia" w:eastAsiaTheme="majorEastAsia" w:hAnsiTheme="majorEastAsia" w:hint="eastAsia"/>
          <w:szCs w:val="21"/>
        </w:rPr>
        <w:t>收入型基金</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w:t>
      </w:r>
      <w:r w:rsidR="00957E06" w:rsidRPr="00D030F9">
        <w:rPr>
          <w:rFonts w:asciiTheme="majorEastAsia" w:eastAsiaTheme="majorEastAsia" w:hAnsiTheme="majorEastAsia" w:hint="eastAsia"/>
          <w:szCs w:val="21"/>
        </w:rPr>
        <w:t>平衡型基金</w:t>
      </w:r>
    </w:p>
    <w:p w:rsidR="001B505E" w:rsidRPr="00D030F9" w:rsidRDefault="003917E1"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w:t>
      </w:r>
      <w:r w:rsidR="00957E06" w:rsidRPr="00D030F9">
        <w:rPr>
          <w:rFonts w:asciiTheme="majorEastAsia" w:eastAsiaTheme="majorEastAsia" w:hAnsiTheme="majorEastAsia" w:hint="eastAsia"/>
          <w:szCs w:val="21"/>
        </w:rPr>
        <w:t>稳定型基金</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6、以下不属于证券投资基金特点有(</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hint="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A.集合投资、专业管理</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B.投入较少、回报较高</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C.组合投资、分散风险</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D.独立托管、保障安全</w:t>
      </w:r>
    </w:p>
    <w:p w:rsidR="001131BB" w:rsidRPr="00D030F9" w:rsidRDefault="001B505E" w:rsidP="001131BB">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7</w:t>
      </w:r>
      <w:r w:rsidR="005C5628" w:rsidRPr="00D030F9">
        <w:rPr>
          <w:rFonts w:asciiTheme="majorEastAsia" w:eastAsiaTheme="majorEastAsia" w:hAnsiTheme="majorEastAsia" w:hint="eastAsia"/>
          <w:b/>
          <w:szCs w:val="21"/>
        </w:rPr>
        <w:t>、</w:t>
      </w:r>
      <w:r w:rsidR="001131BB" w:rsidRPr="00D030F9">
        <w:rPr>
          <w:rFonts w:asciiTheme="majorEastAsia" w:eastAsiaTheme="majorEastAsia" w:hAnsiTheme="majorEastAsia" w:hint="eastAsia"/>
          <w:b/>
          <w:szCs w:val="21"/>
        </w:rPr>
        <w:t>对于那些打算持有债券到期的投资者来说，(</w:t>
      </w:r>
      <w:r w:rsidR="001F1B5D" w:rsidRPr="00D030F9">
        <w:rPr>
          <w:rFonts w:asciiTheme="majorEastAsia" w:eastAsiaTheme="majorEastAsia" w:hAnsiTheme="majorEastAsia" w:hint="eastAsia"/>
          <w:b/>
          <w:szCs w:val="21"/>
        </w:rPr>
        <w:t xml:space="preserve">   </w:t>
      </w:r>
      <w:r w:rsidR="001131BB" w:rsidRPr="00D030F9">
        <w:rPr>
          <w:rFonts w:asciiTheme="majorEastAsia" w:eastAsiaTheme="majorEastAsia" w:hAnsiTheme="majorEastAsia" w:hint="eastAsia"/>
          <w:b/>
          <w:szCs w:val="21"/>
        </w:rPr>
        <w:t>)。</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w:t>
      </w:r>
      <w:r w:rsidR="001131BB" w:rsidRPr="00D030F9">
        <w:rPr>
          <w:rFonts w:asciiTheme="majorEastAsia" w:eastAsiaTheme="majorEastAsia" w:hAnsiTheme="majorEastAsia" w:hint="eastAsia"/>
          <w:szCs w:val="21"/>
        </w:rPr>
        <w:t>利率风险不重要</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w:t>
      </w:r>
      <w:r w:rsidR="001131BB" w:rsidRPr="00D030F9">
        <w:rPr>
          <w:rFonts w:asciiTheme="majorEastAsia" w:eastAsiaTheme="majorEastAsia" w:hAnsiTheme="majorEastAsia" w:hint="eastAsia"/>
          <w:szCs w:val="21"/>
        </w:rPr>
        <w:t>赎回风险不重要</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w:t>
      </w:r>
      <w:r w:rsidR="001131BB" w:rsidRPr="00D030F9">
        <w:rPr>
          <w:rFonts w:asciiTheme="majorEastAsia" w:eastAsiaTheme="majorEastAsia" w:hAnsiTheme="majorEastAsia" w:hint="eastAsia"/>
          <w:szCs w:val="21"/>
        </w:rPr>
        <w:t>汇率风险不重要</w:t>
      </w:r>
    </w:p>
    <w:p w:rsidR="001B505E" w:rsidRPr="00D030F9" w:rsidRDefault="003917E1"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w:t>
      </w:r>
      <w:r w:rsidR="001131BB" w:rsidRPr="00D030F9">
        <w:rPr>
          <w:rFonts w:asciiTheme="majorEastAsia" w:eastAsiaTheme="majorEastAsia" w:hAnsiTheme="majorEastAsia" w:hint="eastAsia"/>
          <w:szCs w:val="21"/>
        </w:rPr>
        <w:t>流动性风险不重要</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8、</w:t>
      </w:r>
      <w:r w:rsidRPr="00D030F9">
        <w:rPr>
          <w:rFonts w:asciiTheme="majorEastAsia" w:eastAsiaTheme="majorEastAsia" w:hAnsiTheme="majorEastAsia"/>
          <w:b/>
          <w:szCs w:val="21"/>
        </w:rPr>
        <w:t>开放式基金的申购、赎回原则是(</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0172DD" w:rsidP="001B505E">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A</w:t>
      </w:r>
      <w:r>
        <w:rPr>
          <w:rFonts w:asciiTheme="majorEastAsia" w:eastAsiaTheme="majorEastAsia" w:hAnsiTheme="majorEastAsia" w:hint="eastAsia"/>
          <w:szCs w:val="21"/>
        </w:rPr>
        <w:t>、</w:t>
      </w:r>
      <w:r w:rsidR="001B505E" w:rsidRPr="00D030F9">
        <w:rPr>
          <w:rFonts w:asciiTheme="majorEastAsia" w:eastAsiaTheme="majorEastAsia" w:hAnsiTheme="majorEastAsia"/>
          <w:szCs w:val="21"/>
        </w:rPr>
        <w:t>份额申购，金额赎回</w:t>
      </w:r>
    </w:p>
    <w:p w:rsidR="001B505E" w:rsidRPr="00D030F9" w:rsidRDefault="000172DD" w:rsidP="001B505E">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B</w:t>
      </w:r>
      <w:r>
        <w:rPr>
          <w:rFonts w:asciiTheme="majorEastAsia" w:eastAsiaTheme="majorEastAsia" w:hAnsiTheme="majorEastAsia" w:hint="eastAsia"/>
          <w:szCs w:val="21"/>
        </w:rPr>
        <w:t>、</w:t>
      </w:r>
      <w:r w:rsidR="001B505E" w:rsidRPr="00D030F9">
        <w:rPr>
          <w:rFonts w:asciiTheme="majorEastAsia" w:eastAsiaTheme="majorEastAsia" w:hAnsiTheme="majorEastAsia"/>
          <w:szCs w:val="21"/>
        </w:rPr>
        <w:t>金额申购，份额赎回</w:t>
      </w:r>
    </w:p>
    <w:p w:rsidR="008C07BF" w:rsidRDefault="008C07BF" w:rsidP="001B505E">
      <w:pPr>
        <w:spacing w:line="360" w:lineRule="auto"/>
        <w:ind w:firstLine="480"/>
        <w:jc w:val="left"/>
        <w:rPr>
          <w:rFonts w:asciiTheme="majorEastAsia" w:eastAsiaTheme="majorEastAsia" w:hAnsiTheme="majorEastAsia" w:hint="eastAsia"/>
          <w:szCs w:val="21"/>
        </w:rPr>
      </w:pPr>
      <w:r w:rsidRPr="00214583">
        <w:rPr>
          <w:rFonts w:ascii="微软雅黑" w:eastAsia="微软雅黑" w:hAnsi="微软雅黑" w:cs="宋体"/>
          <w:sz w:val="32"/>
          <w:szCs w:val="32"/>
        </w:rPr>
        <w:lastRenderedPageBreak/>
        <w:drawing>
          <wp:anchor distT="0" distB="0" distL="114300" distR="114300" simplePos="0" relativeHeight="251663360" behindDoc="0" locked="0" layoutInCell="1" allowOverlap="1" wp14:anchorId="46149960" wp14:editId="1F4CDE9B">
            <wp:simplePos x="0" y="0"/>
            <wp:positionH relativeFrom="column">
              <wp:posOffset>3175</wp:posOffset>
            </wp:positionH>
            <wp:positionV relativeFrom="paragraph">
              <wp:posOffset>-224155</wp:posOffset>
            </wp:positionV>
            <wp:extent cx="1799590" cy="364490"/>
            <wp:effectExtent l="0" t="0" r="0" b="0"/>
            <wp:wrapNone/>
            <wp:docPr id="6" name="图片 6"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505E" w:rsidRPr="00D030F9" w:rsidRDefault="000172DD" w:rsidP="001B505E">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C</w:t>
      </w:r>
      <w:r>
        <w:rPr>
          <w:rFonts w:asciiTheme="majorEastAsia" w:eastAsiaTheme="majorEastAsia" w:hAnsiTheme="majorEastAsia" w:hint="eastAsia"/>
          <w:szCs w:val="21"/>
        </w:rPr>
        <w:t>、</w:t>
      </w:r>
      <w:r w:rsidR="001B505E" w:rsidRPr="00D030F9">
        <w:rPr>
          <w:rFonts w:asciiTheme="majorEastAsia" w:eastAsiaTheme="majorEastAsia" w:hAnsiTheme="majorEastAsia"/>
          <w:szCs w:val="21"/>
        </w:rPr>
        <w:t>份额赎回，份额申购</w:t>
      </w:r>
    </w:p>
    <w:p w:rsidR="001B505E" w:rsidRPr="00D030F9" w:rsidRDefault="000172DD" w:rsidP="00D030F9">
      <w:pPr>
        <w:spacing w:line="360" w:lineRule="auto"/>
        <w:ind w:firstLine="480"/>
        <w:jc w:val="left"/>
        <w:rPr>
          <w:rFonts w:asciiTheme="majorEastAsia" w:eastAsiaTheme="majorEastAsia" w:hAnsiTheme="majorEastAsia"/>
          <w:szCs w:val="21"/>
        </w:rPr>
      </w:pPr>
      <w:r>
        <w:rPr>
          <w:rFonts w:asciiTheme="majorEastAsia" w:eastAsiaTheme="majorEastAsia" w:hAnsiTheme="majorEastAsia"/>
          <w:szCs w:val="21"/>
        </w:rPr>
        <w:t>D</w:t>
      </w:r>
      <w:r>
        <w:rPr>
          <w:rFonts w:asciiTheme="majorEastAsia" w:eastAsiaTheme="majorEastAsia" w:hAnsiTheme="majorEastAsia" w:hint="eastAsia"/>
          <w:szCs w:val="21"/>
        </w:rPr>
        <w:t>、</w:t>
      </w:r>
      <w:r w:rsidR="001B505E" w:rsidRPr="00D030F9">
        <w:rPr>
          <w:rFonts w:asciiTheme="majorEastAsia" w:eastAsiaTheme="majorEastAsia" w:hAnsiTheme="majorEastAsia"/>
          <w:szCs w:val="21"/>
        </w:rPr>
        <w:t>金额赎回，金额申购</w:t>
      </w:r>
      <w:bookmarkStart w:id="0" w:name="_GoBack"/>
      <w:bookmarkEnd w:id="0"/>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9、</w:t>
      </w:r>
      <w:r w:rsidRPr="00D030F9">
        <w:rPr>
          <w:rFonts w:asciiTheme="majorEastAsia" w:eastAsiaTheme="majorEastAsia" w:hAnsiTheme="majorEastAsia"/>
          <w:b/>
          <w:szCs w:val="21"/>
        </w:rPr>
        <w:t xml:space="preserve">基金份额持有人享有权利包括（ </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Ⅰ</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分享基金财产收益，参与分配清算后的剩余基金资产</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Ⅱ</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依法转让或者申请赎回其持有的基金份额</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Ⅲ</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按照规定要求召开基金投资者大会，对基金投资者大会审议事项行使表决权</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Ⅳ</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查阅或者复制全部基金信息资料</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000172DD">
        <w:rPr>
          <w:rFonts w:asciiTheme="majorEastAsia" w:eastAsiaTheme="majorEastAsia" w:hAnsiTheme="majorEastAsia" w:hint="eastAsia"/>
          <w:szCs w:val="21"/>
        </w:rPr>
        <w:t>、</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10、</w:t>
      </w:r>
      <w:r w:rsidRPr="00D030F9">
        <w:rPr>
          <w:rFonts w:asciiTheme="majorEastAsia" w:eastAsiaTheme="majorEastAsia" w:hAnsiTheme="majorEastAsia"/>
          <w:b/>
          <w:szCs w:val="21"/>
        </w:rPr>
        <w:t xml:space="preserve">关于股票和股票基金，以下描述错误的是( </w:t>
      </w:r>
      <w:r w:rsidR="000172DD">
        <w:rPr>
          <w:rFonts w:asciiTheme="majorEastAsia" w:eastAsiaTheme="majorEastAsia" w:hAnsiTheme="majorEastAsia" w:hint="eastAsia"/>
          <w:b/>
          <w:szCs w:val="21"/>
        </w:rPr>
        <w:t xml:space="preserve"> </w:t>
      </w:r>
      <w:r w:rsidR="001F1B5D" w:rsidRPr="00D030F9">
        <w:rPr>
          <w:rFonts w:asciiTheme="majorEastAsia" w:eastAsiaTheme="majorEastAsia" w:hAnsiTheme="majorEastAsia" w:hint="eastAsia"/>
          <w:b/>
          <w:szCs w:val="21"/>
        </w:rPr>
        <w:t xml:space="preserve"> </w:t>
      </w:r>
      <w:r w:rsidR="000172DD">
        <w:rPr>
          <w:rFonts w:asciiTheme="majorEastAsia" w:eastAsiaTheme="majorEastAsia" w:hAnsiTheme="majorEastAsia"/>
          <w:b/>
          <w:szCs w:val="21"/>
        </w:rPr>
        <w:t>)</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股票价格与股票基金的净值在一天之内连续变化</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股票基金的投资风险相对低于股票投资的风险</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投资者可以评估股票价格被高估或低估，但股票基金份额净值是客观的</w:t>
      </w:r>
    </w:p>
    <w:p w:rsidR="00957E06"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000172DD">
        <w:rPr>
          <w:rFonts w:asciiTheme="majorEastAsia" w:eastAsiaTheme="majorEastAsia" w:hAnsiTheme="majorEastAsia" w:hint="eastAsia"/>
          <w:szCs w:val="21"/>
        </w:rPr>
        <w:t>、</w:t>
      </w:r>
      <w:r w:rsidRPr="00D030F9">
        <w:rPr>
          <w:rFonts w:asciiTheme="majorEastAsia" w:eastAsiaTheme="majorEastAsia" w:hAnsiTheme="majorEastAsia"/>
          <w:szCs w:val="21"/>
        </w:rPr>
        <w:t>股票的价格会受到投资者买卖的影响，但股票基金份额净值不受交易日当日投资者申购或赎回的影响</w:t>
      </w:r>
    </w:p>
    <w:sectPr w:rsidR="00957E06" w:rsidRPr="00D030F9" w:rsidSect="008C07BF">
      <w:footerReference w:type="default" r:id="rI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001" w:rsidRDefault="00485001" w:rsidP="00AB2443">
      <w:r>
        <w:separator/>
      </w:r>
    </w:p>
  </w:endnote>
  <w:endnote w:type="continuationSeparator" w:id="0">
    <w:p w:rsidR="00485001" w:rsidRDefault="00485001" w:rsidP="00AB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87580"/>
      <w:docPartObj>
        <w:docPartGallery w:val="Page Numbers (Bottom of Page)"/>
        <w:docPartUnique/>
      </w:docPartObj>
    </w:sdtPr>
    <w:sdtEndPr/>
    <w:sdtContent>
      <w:sdt>
        <w:sdtPr>
          <w:id w:val="-1669238322"/>
          <w:docPartObj>
            <w:docPartGallery w:val="Page Numbers (Top of Page)"/>
            <w:docPartUnique/>
          </w:docPartObj>
        </w:sdtPr>
        <w:sdtEndPr/>
        <w:sdtContent>
          <w:p w:rsidR="00D030F9" w:rsidRDefault="00D030F9" w:rsidP="00D030F9">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22FC1">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22FC1">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001" w:rsidRDefault="00485001" w:rsidP="00AB2443">
      <w:r>
        <w:separator/>
      </w:r>
    </w:p>
  </w:footnote>
  <w:footnote w:type="continuationSeparator" w:id="0">
    <w:p w:rsidR="00485001" w:rsidRDefault="00485001" w:rsidP="00AB244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0DC"/>
    <w:rsid w:val="00004A54"/>
    <w:rsid w:val="000172DD"/>
    <w:rsid w:val="001131BB"/>
    <w:rsid w:val="00122FC1"/>
    <w:rsid w:val="00182812"/>
    <w:rsid w:val="001B505E"/>
    <w:rsid w:val="001F1B5D"/>
    <w:rsid w:val="002E53C6"/>
    <w:rsid w:val="00313448"/>
    <w:rsid w:val="003232E1"/>
    <w:rsid w:val="003917E1"/>
    <w:rsid w:val="00481559"/>
    <w:rsid w:val="00485001"/>
    <w:rsid w:val="004A2F57"/>
    <w:rsid w:val="004E2CF1"/>
    <w:rsid w:val="005236EF"/>
    <w:rsid w:val="005C5628"/>
    <w:rsid w:val="006420DC"/>
    <w:rsid w:val="006E416D"/>
    <w:rsid w:val="006F6084"/>
    <w:rsid w:val="0072151E"/>
    <w:rsid w:val="007C236A"/>
    <w:rsid w:val="0082482A"/>
    <w:rsid w:val="008C07BF"/>
    <w:rsid w:val="00957E06"/>
    <w:rsid w:val="00962A01"/>
    <w:rsid w:val="009902FE"/>
    <w:rsid w:val="00A932E3"/>
    <w:rsid w:val="00AB2443"/>
    <w:rsid w:val="00B57BFA"/>
    <w:rsid w:val="00BD10D0"/>
    <w:rsid w:val="00C40445"/>
    <w:rsid w:val="00C71D6A"/>
    <w:rsid w:val="00D030F9"/>
    <w:rsid w:val="00D47EBE"/>
    <w:rsid w:val="00D67C27"/>
    <w:rsid w:val="00D825BF"/>
    <w:rsid w:val="00DC1042"/>
    <w:rsid w:val="00DF3604"/>
    <w:rsid w:val="00E349A1"/>
    <w:rsid w:val="00FA4243"/>
    <w:rsid w:val="00FE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13448"/>
    <w:rPr>
      <w:sz w:val="18"/>
      <w:szCs w:val="18"/>
    </w:rPr>
  </w:style>
  <w:style w:type="character" w:customStyle="1" w:styleId="Char">
    <w:name w:val="批注框文本 Char"/>
    <w:basedOn w:val="a0"/>
    <w:link w:val="a3"/>
    <w:uiPriority w:val="99"/>
    <w:semiHidden/>
    <w:rsid w:val="00313448"/>
    <w:rPr>
      <w:sz w:val="18"/>
      <w:szCs w:val="18"/>
    </w:rPr>
  </w:style>
  <w:style w:type="paragraph" w:styleId="a4">
    <w:name w:val="Normal (Web)"/>
    <w:basedOn w:val="a"/>
    <w:uiPriority w:val="99"/>
    <w:semiHidden/>
    <w:unhideWhenUsed/>
    <w:rsid w:val="00C71D6A"/>
    <w:pPr>
      <w:widowControl/>
      <w:spacing w:before="100" w:beforeAutospacing="1" w:after="100" w:afterAutospacing="1"/>
      <w:jc w:val="left"/>
    </w:pPr>
    <w:rPr>
      <w:rFonts w:ascii="宋体" w:eastAsia="宋体" w:hAnsi="宋体" w:cs="宋体"/>
      <w:kern w:val="0"/>
      <w:sz w:val="24"/>
      <w:szCs w:val="24"/>
    </w:rPr>
  </w:style>
  <w:style w:type="paragraph" w:customStyle="1" w:styleId="newspublictitthree">
    <w:name w:val="newspublic_titthree"/>
    <w:basedOn w:val="a"/>
    <w:rsid w:val="00D67C2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0"/>
    <w:uiPriority w:val="99"/>
    <w:unhideWhenUsed/>
    <w:rsid w:val="00AB24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B2443"/>
    <w:rPr>
      <w:sz w:val="18"/>
      <w:szCs w:val="18"/>
    </w:rPr>
  </w:style>
  <w:style w:type="paragraph" w:styleId="a6">
    <w:name w:val="footer"/>
    <w:basedOn w:val="a"/>
    <w:link w:val="Char1"/>
    <w:uiPriority w:val="99"/>
    <w:unhideWhenUsed/>
    <w:rsid w:val="00AB2443"/>
    <w:pPr>
      <w:tabs>
        <w:tab w:val="center" w:pos="4153"/>
        <w:tab w:val="right" w:pos="8306"/>
      </w:tabs>
      <w:snapToGrid w:val="0"/>
      <w:jc w:val="left"/>
    </w:pPr>
    <w:rPr>
      <w:sz w:val="18"/>
      <w:szCs w:val="18"/>
    </w:rPr>
  </w:style>
  <w:style w:type="character" w:customStyle="1" w:styleId="Char1">
    <w:name w:val="页脚 Char"/>
    <w:basedOn w:val="a0"/>
    <w:link w:val="a6"/>
    <w:uiPriority w:val="99"/>
    <w:rsid w:val="00AB24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13448"/>
    <w:rPr>
      <w:sz w:val="18"/>
      <w:szCs w:val="18"/>
    </w:rPr>
  </w:style>
  <w:style w:type="character" w:customStyle="1" w:styleId="Char">
    <w:name w:val="批注框文本 Char"/>
    <w:basedOn w:val="a0"/>
    <w:link w:val="a3"/>
    <w:uiPriority w:val="99"/>
    <w:semiHidden/>
    <w:rsid w:val="00313448"/>
    <w:rPr>
      <w:sz w:val="18"/>
      <w:szCs w:val="18"/>
    </w:rPr>
  </w:style>
  <w:style w:type="paragraph" w:styleId="a4">
    <w:name w:val="Normal (Web)"/>
    <w:basedOn w:val="a"/>
    <w:uiPriority w:val="99"/>
    <w:semiHidden/>
    <w:unhideWhenUsed/>
    <w:rsid w:val="00C71D6A"/>
    <w:pPr>
      <w:widowControl/>
      <w:spacing w:before="100" w:beforeAutospacing="1" w:after="100" w:afterAutospacing="1"/>
      <w:jc w:val="left"/>
    </w:pPr>
    <w:rPr>
      <w:rFonts w:ascii="宋体" w:eastAsia="宋体" w:hAnsi="宋体" w:cs="宋体"/>
      <w:kern w:val="0"/>
      <w:sz w:val="24"/>
      <w:szCs w:val="24"/>
    </w:rPr>
  </w:style>
  <w:style w:type="paragraph" w:customStyle="1" w:styleId="newspublictitthree">
    <w:name w:val="newspublic_titthree"/>
    <w:basedOn w:val="a"/>
    <w:rsid w:val="00D67C2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0"/>
    <w:uiPriority w:val="99"/>
    <w:unhideWhenUsed/>
    <w:rsid w:val="00AB24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B2443"/>
    <w:rPr>
      <w:sz w:val="18"/>
      <w:szCs w:val="18"/>
    </w:rPr>
  </w:style>
  <w:style w:type="paragraph" w:styleId="a6">
    <w:name w:val="footer"/>
    <w:basedOn w:val="a"/>
    <w:link w:val="Char1"/>
    <w:uiPriority w:val="99"/>
    <w:unhideWhenUsed/>
    <w:rsid w:val="00AB2443"/>
    <w:pPr>
      <w:tabs>
        <w:tab w:val="center" w:pos="4153"/>
        <w:tab w:val="right" w:pos="8306"/>
      </w:tabs>
      <w:snapToGrid w:val="0"/>
      <w:jc w:val="left"/>
    </w:pPr>
    <w:rPr>
      <w:sz w:val="18"/>
      <w:szCs w:val="18"/>
    </w:rPr>
  </w:style>
  <w:style w:type="character" w:customStyle="1" w:styleId="Char1">
    <w:name w:val="页脚 Char"/>
    <w:basedOn w:val="a0"/>
    <w:link w:val="a6"/>
    <w:uiPriority w:val="99"/>
    <w:rsid w:val="00AB24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222944">
      <w:bodyDiv w:val="1"/>
      <w:marLeft w:val="0"/>
      <w:marRight w:val="0"/>
      <w:marTop w:val="0"/>
      <w:marBottom w:val="0"/>
      <w:divBdr>
        <w:top w:val="none" w:sz="0" w:space="0" w:color="auto"/>
        <w:left w:val="none" w:sz="0" w:space="0" w:color="auto"/>
        <w:bottom w:val="none" w:sz="0" w:space="0" w:color="auto"/>
        <w:right w:val="none" w:sz="0" w:space="0" w:color="auto"/>
      </w:divBdr>
    </w:div>
    <w:div w:id="287785748">
      <w:bodyDiv w:val="1"/>
      <w:marLeft w:val="0"/>
      <w:marRight w:val="0"/>
      <w:marTop w:val="0"/>
      <w:marBottom w:val="0"/>
      <w:divBdr>
        <w:top w:val="none" w:sz="0" w:space="0" w:color="auto"/>
        <w:left w:val="none" w:sz="0" w:space="0" w:color="auto"/>
        <w:bottom w:val="none" w:sz="0" w:space="0" w:color="auto"/>
        <w:right w:val="none" w:sz="0" w:space="0" w:color="auto"/>
      </w:divBdr>
    </w:div>
    <w:div w:id="496961620">
      <w:bodyDiv w:val="1"/>
      <w:marLeft w:val="0"/>
      <w:marRight w:val="0"/>
      <w:marTop w:val="0"/>
      <w:marBottom w:val="0"/>
      <w:divBdr>
        <w:top w:val="none" w:sz="0" w:space="0" w:color="auto"/>
        <w:left w:val="none" w:sz="0" w:space="0" w:color="auto"/>
        <w:bottom w:val="none" w:sz="0" w:space="0" w:color="auto"/>
        <w:right w:val="none" w:sz="0" w:space="0" w:color="auto"/>
      </w:divBdr>
    </w:div>
    <w:div w:id="547644854">
      <w:bodyDiv w:val="1"/>
      <w:marLeft w:val="0"/>
      <w:marRight w:val="0"/>
      <w:marTop w:val="0"/>
      <w:marBottom w:val="0"/>
      <w:divBdr>
        <w:top w:val="none" w:sz="0" w:space="0" w:color="auto"/>
        <w:left w:val="none" w:sz="0" w:space="0" w:color="auto"/>
        <w:bottom w:val="none" w:sz="0" w:space="0" w:color="auto"/>
        <w:right w:val="none" w:sz="0" w:space="0" w:color="auto"/>
      </w:divBdr>
    </w:div>
    <w:div w:id="593053093">
      <w:bodyDiv w:val="1"/>
      <w:marLeft w:val="0"/>
      <w:marRight w:val="0"/>
      <w:marTop w:val="0"/>
      <w:marBottom w:val="0"/>
      <w:divBdr>
        <w:top w:val="none" w:sz="0" w:space="0" w:color="auto"/>
        <w:left w:val="none" w:sz="0" w:space="0" w:color="auto"/>
        <w:bottom w:val="none" w:sz="0" w:space="0" w:color="auto"/>
        <w:right w:val="none" w:sz="0" w:space="0" w:color="auto"/>
      </w:divBdr>
    </w:div>
    <w:div w:id="765616165">
      <w:bodyDiv w:val="1"/>
      <w:marLeft w:val="0"/>
      <w:marRight w:val="0"/>
      <w:marTop w:val="0"/>
      <w:marBottom w:val="0"/>
      <w:divBdr>
        <w:top w:val="none" w:sz="0" w:space="0" w:color="auto"/>
        <w:left w:val="none" w:sz="0" w:space="0" w:color="auto"/>
        <w:bottom w:val="none" w:sz="0" w:space="0" w:color="auto"/>
        <w:right w:val="none" w:sz="0" w:space="0" w:color="auto"/>
      </w:divBdr>
    </w:div>
    <w:div w:id="987703943">
      <w:bodyDiv w:val="1"/>
      <w:marLeft w:val="0"/>
      <w:marRight w:val="0"/>
      <w:marTop w:val="0"/>
      <w:marBottom w:val="0"/>
      <w:divBdr>
        <w:top w:val="none" w:sz="0" w:space="0" w:color="auto"/>
        <w:left w:val="none" w:sz="0" w:space="0" w:color="auto"/>
        <w:bottom w:val="none" w:sz="0" w:space="0" w:color="auto"/>
        <w:right w:val="none" w:sz="0" w:space="0" w:color="auto"/>
      </w:divBdr>
    </w:div>
    <w:div w:id="1199776117">
      <w:bodyDiv w:val="1"/>
      <w:marLeft w:val="0"/>
      <w:marRight w:val="0"/>
      <w:marTop w:val="0"/>
      <w:marBottom w:val="0"/>
      <w:divBdr>
        <w:top w:val="none" w:sz="0" w:space="0" w:color="auto"/>
        <w:left w:val="none" w:sz="0" w:space="0" w:color="auto"/>
        <w:bottom w:val="none" w:sz="0" w:space="0" w:color="auto"/>
        <w:right w:val="none" w:sz="0" w:space="0" w:color="auto"/>
      </w:divBdr>
    </w:div>
    <w:div w:id="1470200293">
      <w:bodyDiv w:val="1"/>
      <w:marLeft w:val="0"/>
      <w:marRight w:val="0"/>
      <w:marTop w:val="0"/>
      <w:marBottom w:val="0"/>
      <w:divBdr>
        <w:top w:val="none" w:sz="0" w:space="0" w:color="auto"/>
        <w:left w:val="none" w:sz="0" w:space="0" w:color="auto"/>
        <w:bottom w:val="none" w:sz="0" w:space="0" w:color="auto"/>
        <w:right w:val="none" w:sz="0" w:space="0" w:color="auto"/>
      </w:divBdr>
    </w:div>
    <w:div w:id="1489857021">
      <w:bodyDiv w:val="1"/>
      <w:marLeft w:val="0"/>
      <w:marRight w:val="0"/>
      <w:marTop w:val="0"/>
      <w:marBottom w:val="0"/>
      <w:divBdr>
        <w:top w:val="none" w:sz="0" w:space="0" w:color="auto"/>
        <w:left w:val="none" w:sz="0" w:space="0" w:color="auto"/>
        <w:bottom w:val="none" w:sz="0" w:space="0" w:color="auto"/>
        <w:right w:val="none" w:sz="0" w:space="0" w:color="auto"/>
      </w:divBdr>
    </w:div>
    <w:div w:id="1586379390">
      <w:bodyDiv w:val="1"/>
      <w:marLeft w:val="0"/>
      <w:marRight w:val="0"/>
      <w:marTop w:val="0"/>
      <w:marBottom w:val="0"/>
      <w:divBdr>
        <w:top w:val="none" w:sz="0" w:space="0" w:color="auto"/>
        <w:left w:val="none" w:sz="0" w:space="0" w:color="auto"/>
        <w:bottom w:val="none" w:sz="0" w:space="0" w:color="auto"/>
        <w:right w:val="none" w:sz="0" w:space="0" w:color="auto"/>
      </w:divBdr>
    </w:div>
    <w:div w:id="1992170489">
      <w:bodyDiv w:val="1"/>
      <w:marLeft w:val="0"/>
      <w:marRight w:val="0"/>
      <w:marTop w:val="0"/>
      <w:marBottom w:val="0"/>
      <w:divBdr>
        <w:top w:val="none" w:sz="0" w:space="0" w:color="auto"/>
        <w:left w:val="none" w:sz="0" w:space="0" w:color="auto"/>
        <w:bottom w:val="none" w:sz="0" w:space="0" w:color="auto"/>
        <w:right w:val="none" w:sz="0" w:space="0" w:color="auto"/>
      </w:divBdr>
    </w:div>
    <w:div w:id="20561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赵一瑾</dc:creator>
  <cp:lastModifiedBy>李美玉</cp:lastModifiedBy>
  <cp:revision>16</cp:revision>
  <dcterms:created xsi:type="dcterms:W3CDTF">2019-10-18T03:06:00Z</dcterms:created>
  <dcterms:modified xsi:type="dcterms:W3CDTF">2022-11-04T07:48:00Z</dcterms:modified>
</cp:coreProperties>
</file>